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4C5" w:rsidRDefault="00E46CD6" w:rsidP="00D564C5">
      <w:pPr>
        <w:jc w:val="center"/>
        <w:rPr>
          <w:b/>
          <w:sz w:val="32"/>
        </w:rPr>
      </w:pPr>
      <w:r w:rsidRPr="00D564C5">
        <w:rPr>
          <w:b/>
          <w:sz w:val="32"/>
        </w:rPr>
        <w:t xml:space="preserve">Управление Федерального казначейства </w:t>
      </w:r>
    </w:p>
    <w:p w:rsidR="00E46CD6" w:rsidRPr="00D564C5" w:rsidRDefault="00E46CD6" w:rsidP="00D564C5">
      <w:pPr>
        <w:jc w:val="center"/>
        <w:rPr>
          <w:b/>
          <w:sz w:val="32"/>
        </w:rPr>
      </w:pPr>
      <w:r w:rsidRPr="00D564C5">
        <w:rPr>
          <w:b/>
          <w:sz w:val="32"/>
        </w:rPr>
        <w:t>по Саратовской области</w:t>
      </w:r>
    </w:p>
    <w:p w:rsidR="00E46CD6" w:rsidRDefault="00E46CD6" w:rsidP="00E46CD6">
      <w:pPr>
        <w:rPr>
          <w:sz w:val="32"/>
        </w:rPr>
      </w:pPr>
    </w:p>
    <w:p w:rsidR="00D564C5" w:rsidRDefault="00E46CD6" w:rsidP="00D564C5">
      <w:pPr>
        <w:jc w:val="center"/>
        <w:rPr>
          <w:sz w:val="32"/>
        </w:rPr>
      </w:pPr>
      <w:r>
        <w:rPr>
          <w:sz w:val="32"/>
        </w:rPr>
        <w:t xml:space="preserve">Результаты анкетирования оценки совещания </w:t>
      </w:r>
    </w:p>
    <w:p w:rsidR="00D564C5" w:rsidRDefault="00E46CD6" w:rsidP="00D564C5">
      <w:pPr>
        <w:jc w:val="center"/>
        <w:rPr>
          <w:spacing w:val="-2"/>
          <w:sz w:val="28"/>
          <w:szCs w:val="28"/>
        </w:rPr>
      </w:pPr>
      <w:r>
        <w:rPr>
          <w:sz w:val="32"/>
        </w:rPr>
        <w:t>на тему:</w:t>
      </w:r>
      <w:r>
        <w:rPr>
          <w:spacing w:val="-2"/>
          <w:sz w:val="28"/>
          <w:szCs w:val="28"/>
        </w:rPr>
        <w:t xml:space="preserve"> «Казначейское обслуживание</w:t>
      </w:r>
    </w:p>
    <w:p w:rsidR="00E46CD6" w:rsidRDefault="00E46CD6" w:rsidP="00D564C5">
      <w:pPr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в условиях функционирования системы казначейских платежей с 01.01.2021 г.»</w:t>
      </w:r>
    </w:p>
    <w:tbl>
      <w:tblPr>
        <w:tblStyle w:val="a3"/>
        <w:tblW w:w="110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6"/>
        <w:gridCol w:w="5643"/>
      </w:tblGrid>
      <w:tr w:rsidR="00C13BB7" w:rsidTr="00C13BB7">
        <w:tc>
          <w:tcPr>
            <w:tcW w:w="4962" w:type="dxa"/>
          </w:tcPr>
          <w:p w:rsidR="00E46CD6" w:rsidRDefault="00AF256E" w:rsidP="00C13BB7">
            <w:pPr>
              <w:jc w:val="center"/>
              <w:rPr>
                <w:spacing w:val="-2"/>
                <w:sz w:val="28"/>
                <w:szCs w:val="28"/>
              </w:rPr>
            </w:pPr>
            <w:bookmarkStart w:id="0" w:name="_GoBack"/>
            <w:r>
              <w:rPr>
                <w:noProof/>
                <w:spacing w:val="-2"/>
                <w:sz w:val="28"/>
                <w:szCs w:val="28"/>
                <w:lang w:eastAsia="ru-RU"/>
              </w:rPr>
              <w:drawing>
                <wp:inline distT="0" distB="0" distL="0" distR="0">
                  <wp:extent cx="3267075" cy="2476500"/>
                  <wp:effectExtent l="0" t="0" r="9525" b="0"/>
                  <wp:docPr id="2" name="Диаграмма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  <w:bookmarkEnd w:id="0"/>
          </w:p>
        </w:tc>
        <w:tc>
          <w:tcPr>
            <w:tcW w:w="6057" w:type="dxa"/>
          </w:tcPr>
          <w:p w:rsidR="005E1C42" w:rsidRDefault="006B31AA" w:rsidP="00C13BB7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noProof/>
                <w:spacing w:val="-2"/>
                <w:sz w:val="28"/>
                <w:szCs w:val="28"/>
                <w:lang w:eastAsia="ru-RU"/>
              </w:rPr>
              <w:drawing>
                <wp:inline distT="0" distB="0" distL="0" distR="0" wp14:anchorId="626820D3" wp14:editId="4FC03351">
                  <wp:extent cx="3162300" cy="2495550"/>
                  <wp:effectExtent l="0" t="0" r="0" b="0"/>
                  <wp:docPr id="3" name="Диаграмма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  <w:p w:rsidR="00C13BB7" w:rsidRDefault="00C13BB7" w:rsidP="00C13BB7">
            <w:pPr>
              <w:jc w:val="center"/>
              <w:rPr>
                <w:spacing w:val="-2"/>
                <w:sz w:val="28"/>
                <w:szCs w:val="28"/>
              </w:rPr>
            </w:pPr>
          </w:p>
          <w:p w:rsidR="00C13BB7" w:rsidRDefault="00C13BB7" w:rsidP="00C13BB7">
            <w:pPr>
              <w:jc w:val="center"/>
              <w:rPr>
                <w:spacing w:val="-2"/>
                <w:sz w:val="28"/>
                <w:szCs w:val="28"/>
              </w:rPr>
            </w:pPr>
          </w:p>
        </w:tc>
      </w:tr>
      <w:tr w:rsidR="00C13BB7" w:rsidTr="00C13BB7">
        <w:tc>
          <w:tcPr>
            <w:tcW w:w="4962" w:type="dxa"/>
          </w:tcPr>
          <w:p w:rsidR="004D3219" w:rsidRDefault="004D3219" w:rsidP="00C13BB7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noProof/>
                <w:spacing w:val="-2"/>
                <w:sz w:val="28"/>
                <w:szCs w:val="28"/>
                <w:lang w:eastAsia="ru-RU"/>
              </w:rPr>
              <w:drawing>
                <wp:inline distT="0" distB="0" distL="0" distR="0">
                  <wp:extent cx="3181350" cy="2447925"/>
                  <wp:effectExtent l="0" t="0" r="0" b="9525"/>
                  <wp:docPr id="4" name="Диаграмма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  <w:p w:rsidR="00F730D0" w:rsidRDefault="00F730D0" w:rsidP="00E46CD6">
            <w:pPr>
              <w:rPr>
                <w:spacing w:val="-2"/>
                <w:sz w:val="28"/>
                <w:szCs w:val="28"/>
              </w:rPr>
            </w:pPr>
          </w:p>
        </w:tc>
        <w:tc>
          <w:tcPr>
            <w:tcW w:w="6057" w:type="dxa"/>
          </w:tcPr>
          <w:p w:rsidR="00AF256E" w:rsidRDefault="004D3219" w:rsidP="00C13BB7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noProof/>
                <w:spacing w:val="-2"/>
                <w:sz w:val="28"/>
                <w:szCs w:val="28"/>
                <w:lang w:eastAsia="ru-RU"/>
              </w:rPr>
              <w:drawing>
                <wp:inline distT="0" distB="0" distL="0" distR="0">
                  <wp:extent cx="3095625" cy="2457450"/>
                  <wp:effectExtent l="0" t="0" r="9525" b="0"/>
                  <wp:docPr id="5" name="Диаграмма 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</w:tc>
      </w:tr>
      <w:tr w:rsidR="00C13BB7" w:rsidTr="00AC60F8">
        <w:trPr>
          <w:trHeight w:val="4231"/>
        </w:trPr>
        <w:tc>
          <w:tcPr>
            <w:tcW w:w="4962" w:type="dxa"/>
          </w:tcPr>
          <w:p w:rsidR="00EF3BA2" w:rsidRDefault="00AC60F8" w:rsidP="00E46CD6">
            <w:pPr>
              <w:rPr>
                <w:spacing w:val="-2"/>
                <w:sz w:val="28"/>
                <w:szCs w:val="28"/>
              </w:rPr>
            </w:pPr>
            <w:r>
              <w:rPr>
                <w:noProof/>
                <w:spacing w:val="-2"/>
                <w:sz w:val="28"/>
                <w:szCs w:val="28"/>
                <w:lang w:eastAsia="ru-RU"/>
              </w:rPr>
              <w:drawing>
                <wp:inline distT="0" distB="0" distL="0" distR="0" wp14:anchorId="4F447EAD" wp14:editId="11BC86B2">
                  <wp:extent cx="3232785" cy="2435961"/>
                  <wp:effectExtent l="0" t="0" r="5715" b="2540"/>
                  <wp:docPr id="16" name="Диаграмма 1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  <w:tc>
          <w:tcPr>
            <w:tcW w:w="6057" w:type="dxa"/>
          </w:tcPr>
          <w:p w:rsidR="00D564C5" w:rsidRDefault="00AC60F8" w:rsidP="00C13BB7">
            <w:pPr>
              <w:jc w:val="center"/>
              <w:rPr>
                <w:spacing w:val="-2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6AFABC" wp14:editId="3221DD3B">
                  <wp:extent cx="3064535" cy="2392045"/>
                  <wp:effectExtent l="0" t="0" r="2540" b="8255"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</w:tr>
    </w:tbl>
    <w:p w:rsidR="000F0175" w:rsidRPr="00D564C5" w:rsidRDefault="000F0175" w:rsidP="00AC60F8">
      <w:pPr>
        <w:rPr>
          <w:sz w:val="24"/>
        </w:rPr>
      </w:pPr>
    </w:p>
    <w:sectPr w:rsidR="000F0175" w:rsidRPr="00D564C5" w:rsidSect="00D564C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CD6"/>
    <w:rsid w:val="00062F33"/>
    <w:rsid w:val="000F0175"/>
    <w:rsid w:val="00357710"/>
    <w:rsid w:val="003D4C99"/>
    <w:rsid w:val="003E6F17"/>
    <w:rsid w:val="004D3219"/>
    <w:rsid w:val="005E1C42"/>
    <w:rsid w:val="0063512D"/>
    <w:rsid w:val="006B31AA"/>
    <w:rsid w:val="008411ED"/>
    <w:rsid w:val="008516E8"/>
    <w:rsid w:val="0098702E"/>
    <w:rsid w:val="00A63FCE"/>
    <w:rsid w:val="00AC60F8"/>
    <w:rsid w:val="00AF256E"/>
    <w:rsid w:val="00C13BB7"/>
    <w:rsid w:val="00D36200"/>
    <w:rsid w:val="00D564C5"/>
    <w:rsid w:val="00E46CD6"/>
    <w:rsid w:val="00EF3BA2"/>
    <w:rsid w:val="00F73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,"/>
  <w:listSeparator w:val=";"/>
  <w15:chartTrackingRefBased/>
  <w15:docId w15:val="{1F1C07AC-36E5-4C73-AF2C-011C0B56B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CD6"/>
    <w:pPr>
      <w:widowControl w:val="0"/>
      <w:spacing w:after="0" w:line="240" w:lineRule="auto"/>
      <w:jc w:val="both"/>
    </w:pPr>
    <w:rPr>
      <w:rFonts w:ascii="Times New Roman" w:eastAsia="Calibri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6C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0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theme" Target="theme/theme1.xml"/><Relationship Id="rId5" Type="http://schemas.openxmlformats.org/officeDocument/2006/relationships/chart" Target="charts/chart2.xml"/><Relationship Id="rId10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cap="all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cap="none" baseline="0"/>
              <a:t>Актуальность совещания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cap="all" spc="5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Актуальность совещания</c:v>
                </c:pt>
              </c:strCache>
            </c:strRef>
          </c:tx>
          <c:spPr>
            <a:solidFill>
              <a:srgbClr val="8EB4E3"/>
            </a:solidFill>
            <a:ln>
              <a:solidFill>
                <a:srgbClr val="95B3D7"/>
              </a:solidFill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актуальное</c:v>
                </c:pt>
                <c:pt idx="1">
                  <c:v>недостаточно актуальное</c:v>
                </c:pt>
                <c:pt idx="2">
                  <c:v>не актуальное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 formatCode="0%">
                  <c:v>1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55"/>
        <c:overlap val="-70"/>
        <c:axId val="38656320"/>
        <c:axId val="39045920"/>
      </c:barChart>
      <c:catAx>
        <c:axId val="38656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9045920"/>
        <c:crosses val="autoZero"/>
        <c:auto val="1"/>
        <c:lblAlgn val="ctr"/>
        <c:lblOffset val="100"/>
        <c:noMultiLvlLbl val="0"/>
      </c:catAx>
      <c:valAx>
        <c:axId val="39045920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gradFill>
                <a:gsLst>
                  <a:gs pos="100000">
                    <a:schemeClr val="tx1">
                      <a:lumMod val="5000"/>
                      <a:lumOff val="95000"/>
                    </a:schemeClr>
                  </a:gs>
                  <a:gs pos="0">
                    <a:schemeClr val="tx1">
                      <a:lumMod val="25000"/>
                      <a:lumOff val="75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656320"/>
        <c:crosses val="autoZero"/>
        <c:crossBetween val="between"/>
        <c:majorUnit val="0.2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Информативность совещания </c:v>
                </c:pt>
              </c:strCache>
            </c:strRef>
          </c:tx>
          <c:dPt>
            <c:idx val="0"/>
            <c:bubble3D val="0"/>
            <c:spPr>
              <a:solidFill>
                <a:srgbClr val="8EB4E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D9D9D9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Лист1!$A$2:$A$3</c:f>
              <c:strCache>
                <c:ptCount val="2"/>
                <c:pt idx="0">
                  <c:v>информативное</c:v>
                </c:pt>
                <c:pt idx="1">
                  <c:v>не ответили на этот вопрос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0.96499999999999997</c:v>
                </c:pt>
                <c:pt idx="1">
                  <c:v>3.5000000000000003E-2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Содержательность докладов на совещании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8EB4E3"/>
              </a:solidFill>
              <a:ln>
                <a:noFill/>
              </a:ln>
              <a:effectLst/>
            </c:spPr>
          </c:dPt>
          <c:dPt>
            <c:idx val="1"/>
            <c:invertIfNegative val="0"/>
            <c:bubble3D val="0"/>
            <c:spPr>
              <a:solidFill>
                <a:srgbClr val="B9CDE5"/>
              </a:solidFill>
              <a:ln>
                <a:noFill/>
              </a:ln>
              <a:effectLst/>
            </c:spPr>
          </c:dPt>
          <c:dPt>
            <c:idx val="2"/>
            <c:invertIfNegative val="0"/>
            <c:bubble3D val="0"/>
            <c:spPr>
              <a:solidFill>
                <a:srgbClr val="D9D9D9"/>
              </a:solidFill>
              <a:ln>
                <a:noFill/>
              </a:ln>
              <a:effectLst/>
            </c:spPr>
          </c:dPt>
          <c:cat>
            <c:strRef>
              <c:f>Лист1!$A$2:$A$4</c:f>
              <c:strCache>
                <c:ptCount val="3"/>
                <c:pt idx="0">
                  <c:v>"хорошо" освещены вопросы повестки</c:v>
                </c:pt>
                <c:pt idx="1">
                  <c:v>"удовлетворительно" освещены вопросы</c:v>
                </c:pt>
                <c:pt idx="2">
                  <c:v>не ответили на этот вопрос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 formatCode="0%">
                  <c:v>0.9</c:v>
                </c:pt>
                <c:pt idx="1">
                  <c:v>6.5000000000000002E-2</c:v>
                </c:pt>
                <c:pt idx="2">
                  <c:v>3.5000000000000003E-2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66633248"/>
        <c:axId val="366633808"/>
      </c:barChart>
      <c:catAx>
        <c:axId val="3666332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6633808"/>
        <c:crosses val="autoZero"/>
        <c:auto val="1"/>
        <c:lblAlgn val="ctr"/>
        <c:lblOffset val="100"/>
        <c:noMultiLvlLbl val="0"/>
      </c:catAx>
      <c:valAx>
        <c:axId val="3666338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6633248"/>
        <c:crosses val="autoZero"/>
        <c:crossBetween val="between"/>
        <c:majorUnit val="0.2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Получены ли ответы на вопросы,которые у Вас возникли?</c:v>
                </c:pt>
              </c:strCache>
            </c:strRef>
          </c:tx>
          <c:dPt>
            <c:idx val="0"/>
            <c:bubble3D val="0"/>
            <c:spPr>
              <a:solidFill>
                <a:srgbClr val="8EB4E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B9CDE5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 ответили на этот вопрос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0.9</c:v>
                </c:pt>
                <c:pt idx="1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Необходимось проведения аналогичных совещаний в будущем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8EB4E3"/>
              </a:solidFill>
              <a:ln>
                <a:noFill/>
              </a:ln>
              <a:effectLst/>
            </c:spPr>
          </c:dPt>
          <c:cat>
            <c:strRef>
              <c:f>Лист1!$A$2:$A$3</c:f>
              <c:strCache>
                <c:ptCount val="2"/>
                <c:pt idx="0">
                  <c:v>необходимо проводить</c:v>
                </c:pt>
                <c:pt idx="1">
                  <c:v>нет необходимости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 formatCode="0%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96305440"/>
        <c:axId val="96306000"/>
      </c:barChart>
      <c:catAx>
        <c:axId val="963054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6306000"/>
        <c:crosses val="autoZero"/>
        <c:auto val="1"/>
        <c:lblAlgn val="ctr"/>
        <c:lblOffset val="100"/>
        <c:noMultiLvlLbl val="0"/>
      </c:catAx>
      <c:valAx>
        <c:axId val="96306000"/>
        <c:scaling>
          <c:orientation val="minMax"/>
          <c:max val="1"/>
        </c:scaling>
        <c:delete val="0"/>
        <c:axPos val="b"/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6305440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/>
              <a:t>Четкость и полнота ответов на</a:t>
            </a:r>
          </a:p>
          <a:p>
            <a:pPr>
              <a:defRPr b="1"/>
            </a:pPr>
            <a:r>
              <a:rPr lang="ru-RU" b="1"/>
              <a:t>поставленные вопросы</a:t>
            </a:r>
          </a:p>
        </c:rich>
      </c:tx>
      <c:layout>
        <c:manualLayout>
          <c:xMode val="edge"/>
          <c:yMode val="edge"/>
          <c:x val="0.17608284184778075"/>
          <c:y val="5.170927894283251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rgbClr val="8EB4E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D9D9D9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0.16944444444444445"/>
                  <c:y val="-6.944444444444444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400" b="1" i="0" u="none" strike="noStrike" kern="1200" baseline="0">
                        <a:ln>
                          <a:solidFill>
                            <a:srgbClr val="B9CDE5"/>
                          </a:solidFill>
                        </a:ln>
                        <a:solidFill>
                          <a:srgbClr val="8EB4E3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32BF4528-31E5-45B6-8DC9-96EE5079A2F4}" type="VALUE">
                      <a:rPr lang="en-US" sz="1400" b="1">
                        <a:ln>
                          <a:solidFill>
                            <a:srgbClr val="B9CDE5"/>
                          </a:solidFill>
                        </a:ln>
                        <a:solidFill>
                          <a:srgbClr val="8EB4E3"/>
                        </a:solidFill>
                      </a:rPr>
                      <a:pPr>
                        <a:defRPr sz="1400" b="1">
                          <a:ln>
                            <a:solidFill>
                              <a:srgbClr val="B9CDE5"/>
                            </a:solidFill>
                          </a:ln>
                          <a:solidFill>
                            <a:srgbClr val="8EB4E3"/>
                          </a:solidFill>
                        </a:defRPr>
                      </a:pPr>
                      <a:t>[ЗНАЧЕНИЕ]</a:t>
                    </a:fld>
                    <a:r>
                      <a:rPr lang="en-US" sz="1400" b="1">
                        <a:ln>
                          <a:solidFill>
                            <a:srgbClr val="B9CDE5"/>
                          </a:solidFill>
                        </a:ln>
                        <a:solidFill>
                          <a:srgbClr val="8EB4E3"/>
                        </a:solidFill>
                      </a:rPr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400" b="1" i="0" u="none" strike="noStrike" kern="1200" baseline="0">
                      <a:ln>
                        <a:solidFill>
                          <a:srgbClr val="B9CDE5"/>
                        </a:solidFill>
                      </a:ln>
                      <a:solidFill>
                        <a:srgbClr val="8EB4E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8.3333333333333332E-3"/>
                  <c:y val="0.111111111111111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400" b="1" i="0" u="none" strike="noStrike" kern="1200" baseline="0"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solidFill>
                          <a:srgbClr val="D9D9D9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B6D18390-4AB5-43A5-A5C8-8B664993ED0E}" type="VALUE">
                      <a:rPr lang="en-US" sz="1400" b="1"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solidFill>
                          <a:srgbClr val="D9D9D9"/>
                        </a:solidFill>
                      </a:rPr>
                      <a:pPr>
                        <a:defRPr sz="1400" b="1"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  <a:solidFill>
                            <a:srgbClr val="D9D9D9"/>
                          </a:solidFill>
                        </a:defRPr>
                      </a:pPr>
                      <a:t>[ЗНАЧЕНИЕ]</a:t>
                    </a:fld>
                    <a:r>
                      <a:rPr lang="en-US" sz="1400" b="1"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solidFill>
                          <a:srgbClr val="D9D9D9"/>
                        </a:solidFill>
                      </a:rPr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400" b="1" i="0" u="none" strike="noStrike" kern="1200" baseline="0"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  <a:solidFill>
                        <a:srgbClr val="D9D9D9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Лист1!$A$3:$A$4</c:f>
              <c:strCache>
                <c:ptCount val="2"/>
                <c:pt idx="0">
                  <c:v>Четкие и полные</c:v>
                </c:pt>
                <c:pt idx="1">
                  <c:v>Не ответили на вопрос</c:v>
                </c:pt>
              </c:strCache>
            </c:strRef>
          </c:cat>
          <c:val>
            <c:numRef>
              <c:f>Лист1!$B$3:$B$4</c:f>
              <c:numCache>
                <c:formatCode>General</c:formatCode>
                <c:ptCount val="2"/>
                <c:pt idx="0">
                  <c:v>93.3</c:v>
                </c:pt>
                <c:pt idx="1">
                  <c:v>6.7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tx1">
                <a:lumMod val="5000"/>
                <a:lumOff val="95000"/>
              </a:schemeClr>
            </a:gs>
            <a:gs pos="0">
              <a:schemeClr val="tx1">
                <a:lumMod val="25000"/>
                <a:lumOff val="75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tx1">
                <a:lumMod val="5000"/>
                <a:lumOff val="95000"/>
              </a:schemeClr>
            </a:gs>
            <a:gs pos="0">
              <a:schemeClr val="tx1">
                <a:lumMod val="25000"/>
                <a:lumOff val="75000"/>
              </a:schemeClr>
            </a:gs>
          </a:gsLst>
          <a:lin ang="5400000" scaled="0"/>
        </a:gra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иний и зеленый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Доронина Алла Сергеевна</dc:creator>
  <cp:keywords/>
  <dc:description/>
  <cp:lastModifiedBy>Доронина Алла Сергеевна</cp:lastModifiedBy>
  <cp:revision>9</cp:revision>
  <dcterms:created xsi:type="dcterms:W3CDTF">2020-11-02T12:48:00Z</dcterms:created>
  <dcterms:modified xsi:type="dcterms:W3CDTF">2020-11-05T08:20:00Z</dcterms:modified>
</cp:coreProperties>
</file>